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8FE7A" w14:textId="77777777" w:rsidR="00F3142E" w:rsidRPr="008D4A81" w:rsidRDefault="00000000">
      <w:pPr>
        <w:jc w:val="center"/>
        <w:rPr>
          <w:rFonts w:ascii="Times New Roman" w:hAnsi="Times New Roman" w:cs="Times New Roman"/>
          <w:b/>
          <w:bCs/>
          <w:color w:val="000000" w:themeColor="text1"/>
          <w:sz w:val="24"/>
          <w:szCs w:val="24"/>
          <w:lang w:val="en-IN"/>
        </w:rPr>
      </w:pPr>
      <w:r w:rsidRPr="008D4A81">
        <w:rPr>
          <w:rFonts w:ascii="Times New Roman" w:hAnsi="Times New Roman" w:cs="Times New Roman"/>
          <w:b/>
          <w:bCs/>
          <w:color w:val="000000" w:themeColor="text1"/>
          <w:sz w:val="24"/>
          <w:szCs w:val="24"/>
          <w:lang w:val="en-IN"/>
        </w:rPr>
        <w:t>S1: Supplementary Materials</w:t>
      </w:r>
    </w:p>
    <w:p w14:paraId="6D176D41" w14:textId="77777777" w:rsidR="00F3142E" w:rsidRPr="008D4A81" w:rsidRDefault="00F3142E">
      <w:pPr>
        <w:rPr>
          <w:rFonts w:ascii="Times New Roman" w:hAnsi="Times New Roman" w:cs="Times New Roman"/>
          <w:b/>
          <w:bCs/>
          <w:color w:val="000000" w:themeColor="text1"/>
          <w:sz w:val="24"/>
          <w:szCs w:val="24"/>
          <w:lang w:val="en-IN"/>
        </w:rPr>
      </w:pPr>
    </w:p>
    <w:p w14:paraId="36C735C6" w14:textId="77777777" w:rsidR="00F3142E" w:rsidRPr="008D4A81" w:rsidRDefault="00000000">
      <w:pPr>
        <w:ind w:left="100"/>
        <w:jc w:val="both"/>
        <w:rPr>
          <w:rFonts w:ascii="Times New Roman" w:hAnsi="Times New Roman" w:cs="Times New Roman"/>
          <w:color w:val="000000" w:themeColor="text1"/>
          <w:sz w:val="21"/>
          <w:szCs w:val="21"/>
          <w:lang w:val="en-IN"/>
        </w:rPr>
      </w:pPr>
      <w:r w:rsidRPr="008D4A81">
        <w:rPr>
          <w:rFonts w:ascii="Times New Roman" w:hAnsi="Times New Roman"/>
          <w:color w:val="000000" w:themeColor="text1"/>
          <w:sz w:val="21"/>
          <w:szCs w:val="21"/>
          <w:lang w:val="en-IN"/>
        </w:rPr>
        <w:t>This section provides detailed experimental conditions, optimization procedures, and supporting spectroscopic and structural analyses, including UV–Vis, FTIR, and XRD, to complement and substantiate the findings presented in the main manuscript.</w:t>
      </w:r>
    </w:p>
    <w:p w14:paraId="1366BAC9" w14:textId="77777777" w:rsidR="00F3142E" w:rsidRPr="008D4A81" w:rsidRDefault="00F3142E">
      <w:pPr>
        <w:ind w:left="100"/>
        <w:jc w:val="both"/>
        <w:rPr>
          <w:rFonts w:ascii="Times New Roman" w:hAnsi="Times New Roman" w:cs="Times New Roman"/>
          <w:color w:val="000000" w:themeColor="text1"/>
          <w:sz w:val="21"/>
          <w:szCs w:val="21"/>
          <w:lang w:val="en-IN"/>
        </w:rPr>
      </w:pPr>
    </w:p>
    <w:p w14:paraId="671859EE"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S1.1 UV–Vis Spectral Analysis</w:t>
      </w:r>
    </w:p>
    <w:p w14:paraId="2C3EE00C" w14:textId="77777777" w:rsidR="00F3142E" w:rsidRPr="008D4A81" w:rsidRDefault="00F3142E">
      <w:pPr>
        <w:ind w:left="100"/>
        <w:jc w:val="both"/>
        <w:rPr>
          <w:rFonts w:ascii="Times New Roman" w:hAnsi="Times New Roman"/>
          <w:i/>
          <w:iCs/>
          <w:color w:val="000000" w:themeColor="text1"/>
          <w:sz w:val="21"/>
          <w:szCs w:val="21"/>
          <w:lang w:val="en-IN"/>
        </w:rPr>
      </w:pPr>
    </w:p>
    <w:p w14:paraId="0325E502"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1.1.1 Effect of pH:</w:t>
      </w:r>
    </w:p>
    <w:p w14:paraId="5FCF3D7D" w14:textId="77777777" w:rsidR="00F3142E" w:rsidRPr="008D4A81" w:rsidRDefault="00F3142E">
      <w:pPr>
        <w:ind w:left="100"/>
        <w:jc w:val="both"/>
        <w:rPr>
          <w:rFonts w:ascii="Times New Roman" w:hAnsi="Times New Roman"/>
          <w:i/>
          <w:iCs/>
          <w:color w:val="000000" w:themeColor="text1"/>
          <w:sz w:val="21"/>
          <w:szCs w:val="21"/>
          <w:lang w:val="en-IN"/>
        </w:rPr>
      </w:pPr>
    </w:p>
    <w:p w14:paraId="2C76D45B" w14:textId="77777777" w:rsidR="00F3142E" w:rsidRPr="008D4A81" w:rsidRDefault="00000000">
      <w:pPr>
        <w:ind w:left="100"/>
        <w:jc w:val="both"/>
        <w:rPr>
          <w:rFonts w:ascii="Times New Roman" w:hAnsi="Times New Roman"/>
          <w:color w:val="000000" w:themeColor="text1"/>
          <w:sz w:val="21"/>
          <w:szCs w:val="21"/>
          <w:lang w:val="en-IN"/>
        </w:rPr>
      </w:pPr>
      <w:r w:rsidRPr="008D4A81">
        <w:rPr>
          <w:rFonts w:ascii="Times New Roman" w:hAnsi="Times New Roman"/>
          <w:color w:val="000000" w:themeColor="text1"/>
          <w:sz w:val="21"/>
          <w:szCs w:val="21"/>
          <w:lang w:val="en-IN"/>
        </w:rPr>
        <w:t>The UV–</w:t>
      </w:r>
      <w:proofErr w:type="gramStart"/>
      <w:r w:rsidRPr="008D4A81">
        <w:rPr>
          <w:rFonts w:ascii="Times New Roman" w:hAnsi="Times New Roman"/>
          <w:color w:val="000000" w:themeColor="text1"/>
          <w:sz w:val="21"/>
          <w:szCs w:val="21"/>
          <w:lang w:val="en-IN"/>
        </w:rPr>
        <w:t>Vis</w:t>
      </w:r>
      <w:proofErr w:type="gramEnd"/>
      <w:r w:rsidRPr="008D4A81">
        <w:rPr>
          <w:rFonts w:ascii="Times New Roman" w:hAnsi="Times New Roman"/>
          <w:color w:val="000000" w:themeColor="text1"/>
          <w:sz w:val="21"/>
          <w:szCs w:val="21"/>
          <w:lang w:val="en-IN"/>
        </w:rPr>
        <w:t xml:space="preserve"> spectra, as shown in Supplementary Fig. 1(A) demonstrate a pronounced decrease in the characteristic absorption peak intensity of methylene blue with increasing pH up to the optimum value, indicating enhanced adsorption efficiency under near-neutral conditions. This </w:t>
      </w:r>
      <w:proofErr w:type="spellStart"/>
      <w:r w:rsidRPr="008D4A81">
        <w:rPr>
          <w:rFonts w:ascii="Times New Roman" w:hAnsi="Times New Roman"/>
          <w:color w:val="000000" w:themeColor="text1"/>
          <w:sz w:val="21"/>
          <w:szCs w:val="21"/>
          <w:lang w:val="en-IN"/>
        </w:rPr>
        <w:t>behavior</w:t>
      </w:r>
      <w:proofErr w:type="spellEnd"/>
      <w:r w:rsidRPr="008D4A81">
        <w:rPr>
          <w:rFonts w:ascii="Times New Roman" w:hAnsi="Times New Roman"/>
          <w:color w:val="000000" w:themeColor="text1"/>
          <w:sz w:val="21"/>
          <w:szCs w:val="21"/>
          <w:lang w:val="en-IN"/>
        </w:rPr>
        <w:t xml:space="preserve"> suggests that electrostatic interactions between the dye molecules and the BPMNC surface are strongly pH-dependent, with maximum removal occurring at a pH of 6.</w:t>
      </w:r>
    </w:p>
    <w:p w14:paraId="65BD7FC6" w14:textId="77777777" w:rsidR="00F3142E" w:rsidRPr="008D4A81" w:rsidRDefault="00F3142E">
      <w:pPr>
        <w:ind w:left="100"/>
        <w:jc w:val="both"/>
        <w:rPr>
          <w:rFonts w:ascii="Times New Roman" w:hAnsi="Times New Roman"/>
          <w:color w:val="000000" w:themeColor="text1"/>
          <w:sz w:val="21"/>
          <w:szCs w:val="21"/>
          <w:lang w:val="en-IN"/>
        </w:rPr>
      </w:pPr>
    </w:p>
    <w:p w14:paraId="31DBAB2B"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1.1.2 Effect of Adsorbent Dosage:</w:t>
      </w:r>
    </w:p>
    <w:p w14:paraId="53425B19" w14:textId="77777777" w:rsidR="00F3142E" w:rsidRPr="008D4A81" w:rsidRDefault="00F3142E">
      <w:pPr>
        <w:ind w:left="100"/>
        <w:jc w:val="both"/>
        <w:rPr>
          <w:rFonts w:ascii="Times New Roman" w:hAnsi="Times New Roman"/>
          <w:i/>
          <w:iCs/>
          <w:color w:val="000000" w:themeColor="text1"/>
          <w:sz w:val="21"/>
          <w:szCs w:val="21"/>
          <w:lang w:val="en-IN"/>
        </w:rPr>
      </w:pPr>
    </w:p>
    <w:p w14:paraId="33ADBD0D" w14:textId="77777777" w:rsidR="00F3142E" w:rsidRPr="008D4A81" w:rsidRDefault="00000000">
      <w:pPr>
        <w:ind w:left="100"/>
        <w:jc w:val="both"/>
        <w:rPr>
          <w:rFonts w:ascii="Times New Roman" w:hAnsi="Times New Roman"/>
          <w:color w:val="000000" w:themeColor="text1"/>
          <w:sz w:val="21"/>
          <w:szCs w:val="21"/>
          <w:lang w:val="en-IN"/>
        </w:rPr>
      </w:pPr>
      <w:r w:rsidRPr="008D4A81">
        <w:rPr>
          <w:rFonts w:ascii="Times New Roman" w:hAnsi="Times New Roman"/>
          <w:color w:val="000000" w:themeColor="text1"/>
          <w:sz w:val="21"/>
          <w:szCs w:val="21"/>
          <w:lang w:val="en-IN"/>
        </w:rPr>
        <w:t>An increase in adsorbent dosage, as shown in Supplementary Fig. 1(B), results in a substantial reduction in absorbance intensity, confirming improved dye removal due to the greater availability of active adsorption sites. However, beyond the optimum dosage, the marginal improvement suggests possible site aggregation or saturation effects that limit further enhancement.</w:t>
      </w:r>
    </w:p>
    <w:p w14:paraId="2B3A75F0" w14:textId="77777777" w:rsidR="00F3142E" w:rsidRPr="008D4A81" w:rsidRDefault="00F3142E">
      <w:pPr>
        <w:ind w:left="100"/>
        <w:jc w:val="both"/>
        <w:rPr>
          <w:rFonts w:ascii="Times New Roman" w:hAnsi="Times New Roman"/>
          <w:color w:val="000000" w:themeColor="text1"/>
          <w:sz w:val="21"/>
          <w:szCs w:val="21"/>
          <w:lang w:val="en-IN"/>
        </w:rPr>
      </w:pPr>
    </w:p>
    <w:p w14:paraId="7CCB4656"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1.1.3 Effect of Contact Time:</w:t>
      </w:r>
    </w:p>
    <w:p w14:paraId="1D563C64" w14:textId="77777777" w:rsidR="00F3142E" w:rsidRPr="008D4A81" w:rsidRDefault="00F3142E">
      <w:pPr>
        <w:ind w:left="100"/>
        <w:jc w:val="both"/>
        <w:rPr>
          <w:rFonts w:ascii="Times New Roman" w:hAnsi="Times New Roman"/>
          <w:i/>
          <w:iCs/>
          <w:color w:val="000000" w:themeColor="text1"/>
          <w:sz w:val="21"/>
          <w:szCs w:val="21"/>
          <w:lang w:val="en-IN"/>
        </w:rPr>
      </w:pPr>
    </w:p>
    <w:p w14:paraId="10579894" w14:textId="77777777" w:rsidR="00F3142E" w:rsidRPr="008D4A81" w:rsidRDefault="00000000">
      <w:pPr>
        <w:ind w:left="100"/>
        <w:jc w:val="both"/>
        <w:rPr>
          <w:rFonts w:ascii="Times New Roman" w:hAnsi="Times New Roman"/>
          <w:color w:val="000000" w:themeColor="text1"/>
          <w:sz w:val="21"/>
          <w:szCs w:val="21"/>
          <w:lang w:val="en-IN"/>
        </w:rPr>
      </w:pPr>
      <w:r w:rsidRPr="008D4A81">
        <w:rPr>
          <w:rFonts w:ascii="Times New Roman" w:hAnsi="Times New Roman"/>
          <w:color w:val="000000" w:themeColor="text1"/>
          <w:sz w:val="21"/>
          <w:szCs w:val="21"/>
          <w:lang w:val="en-IN"/>
        </w:rPr>
        <w:t>The progressive decline in absorbance with increasing contact time, as shown in Supplementary Fig. 1(C</w:t>
      </w:r>
      <w:proofErr w:type="gramStart"/>
      <w:r w:rsidRPr="008D4A81">
        <w:rPr>
          <w:rFonts w:ascii="Times New Roman" w:hAnsi="Times New Roman"/>
          <w:color w:val="000000" w:themeColor="text1"/>
          <w:sz w:val="21"/>
          <w:szCs w:val="21"/>
          <w:lang w:val="en-IN"/>
        </w:rPr>
        <w:t>),  reflects</w:t>
      </w:r>
      <w:proofErr w:type="gramEnd"/>
      <w:r w:rsidRPr="008D4A81">
        <w:rPr>
          <w:rFonts w:ascii="Times New Roman" w:hAnsi="Times New Roman"/>
          <w:color w:val="000000" w:themeColor="text1"/>
          <w:sz w:val="21"/>
          <w:szCs w:val="21"/>
          <w:lang w:val="en-IN"/>
        </w:rPr>
        <w:t xml:space="preserve"> rapid initial adsorption followed by gradual attainment of equilibrium. The system achieves near-maximum removal efficiency within the optimized time frame, indicating </w:t>
      </w:r>
      <w:proofErr w:type="spellStart"/>
      <w:r w:rsidRPr="008D4A81">
        <w:rPr>
          <w:rFonts w:ascii="Times New Roman" w:hAnsi="Times New Roman"/>
          <w:color w:val="000000" w:themeColor="text1"/>
          <w:sz w:val="21"/>
          <w:szCs w:val="21"/>
          <w:lang w:val="en-IN"/>
        </w:rPr>
        <w:t>favorable</w:t>
      </w:r>
      <w:proofErr w:type="spellEnd"/>
      <w:r w:rsidRPr="008D4A81">
        <w:rPr>
          <w:rFonts w:ascii="Times New Roman" w:hAnsi="Times New Roman"/>
          <w:color w:val="000000" w:themeColor="text1"/>
          <w:sz w:val="21"/>
          <w:szCs w:val="21"/>
          <w:lang w:val="en-IN"/>
        </w:rPr>
        <w:t xml:space="preserve"> adsorption kinetics.</w:t>
      </w:r>
    </w:p>
    <w:p w14:paraId="0B852DDA" w14:textId="77777777" w:rsidR="00F3142E" w:rsidRPr="008D4A81" w:rsidRDefault="00F3142E">
      <w:pPr>
        <w:ind w:left="100"/>
        <w:jc w:val="both"/>
        <w:rPr>
          <w:rFonts w:ascii="Times New Roman" w:hAnsi="Times New Roman"/>
          <w:color w:val="000000" w:themeColor="text1"/>
          <w:sz w:val="21"/>
          <w:szCs w:val="21"/>
          <w:lang w:val="en-IN"/>
        </w:rPr>
      </w:pPr>
    </w:p>
    <w:p w14:paraId="0F3CADA2"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1.1.4 Effect of Temperature:</w:t>
      </w:r>
    </w:p>
    <w:p w14:paraId="25DDE47D" w14:textId="77777777" w:rsidR="00F3142E" w:rsidRPr="008D4A81" w:rsidRDefault="00F3142E">
      <w:pPr>
        <w:ind w:left="100"/>
        <w:jc w:val="both"/>
        <w:rPr>
          <w:rFonts w:ascii="Times New Roman" w:hAnsi="Times New Roman"/>
          <w:i/>
          <w:iCs/>
          <w:color w:val="000000" w:themeColor="text1"/>
          <w:sz w:val="21"/>
          <w:szCs w:val="21"/>
          <w:lang w:val="en-IN"/>
        </w:rPr>
      </w:pPr>
    </w:p>
    <w:p w14:paraId="4C935192" w14:textId="77777777" w:rsidR="00F3142E" w:rsidRPr="008D4A81" w:rsidRDefault="00000000">
      <w:pPr>
        <w:ind w:left="100"/>
        <w:jc w:val="both"/>
        <w:rPr>
          <w:rFonts w:ascii="Times New Roman" w:hAnsi="Times New Roman"/>
          <w:color w:val="000000" w:themeColor="text1"/>
          <w:sz w:val="21"/>
          <w:szCs w:val="21"/>
          <w:lang w:val="en-IN"/>
        </w:rPr>
      </w:pPr>
      <w:r w:rsidRPr="008D4A81">
        <w:rPr>
          <w:rFonts w:ascii="Times New Roman" w:hAnsi="Times New Roman"/>
          <w:color w:val="000000" w:themeColor="text1"/>
          <w:sz w:val="21"/>
          <w:szCs w:val="21"/>
          <w:lang w:val="en-IN"/>
        </w:rPr>
        <w:t xml:space="preserve">The spectra, as shown in Supplementary Fig. 1(D) reveal moderate variations in absorbance with temperature, suggesting that thermal conditions influence adsorption efficiency. The observed trend demonstrates that the process is thermally sensitive, with optimal performance occurring at moderate temperatures, likely due to enhanced diffusion rates and </w:t>
      </w:r>
      <w:proofErr w:type="spellStart"/>
      <w:r w:rsidRPr="008D4A81">
        <w:rPr>
          <w:rFonts w:ascii="Times New Roman" w:hAnsi="Times New Roman"/>
          <w:color w:val="000000" w:themeColor="text1"/>
          <w:sz w:val="21"/>
          <w:szCs w:val="21"/>
          <w:lang w:val="en-IN"/>
        </w:rPr>
        <w:t>favorable</w:t>
      </w:r>
      <w:proofErr w:type="spellEnd"/>
      <w:r w:rsidRPr="008D4A81">
        <w:rPr>
          <w:rFonts w:ascii="Times New Roman" w:hAnsi="Times New Roman"/>
          <w:color w:val="000000" w:themeColor="text1"/>
          <w:sz w:val="21"/>
          <w:szCs w:val="21"/>
          <w:lang w:val="en-IN"/>
        </w:rPr>
        <w:t xml:space="preserve"> surface interaction </w:t>
      </w:r>
      <w:proofErr w:type="gramStart"/>
      <w:r w:rsidRPr="008D4A81">
        <w:rPr>
          <w:rFonts w:ascii="Times New Roman" w:hAnsi="Times New Roman"/>
          <w:color w:val="000000" w:themeColor="text1"/>
          <w:sz w:val="21"/>
          <w:szCs w:val="21"/>
          <w:lang w:val="en-IN"/>
        </w:rPr>
        <w:t>dynamics..</w:t>
      </w:r>
      <w:proofErr w:type="gramEnd"/>
    </w:p>
    <w:p w14:paraId="4AAD36CA" w14:textId="77777777" w:rsidR="00F3142E" w:rsidRPr="008D4A81" w:rsidRDefault="00F3142E">
      <w:pPr>
        <w:ind w:left="100"/>
        <w:jc w:val="both"/>
        <w:rPr>
          <w:rFonts w:ascii="Times New Roman" w:hAnsi="Times New Roman"/>
          <w:color w:val="000000" w:themeColor="text1"/>
          <w:sz w:val="21"/>
          <w:szCs w:val="21"/>
          <w:lang w:val="en-IN"/>
        </w:rPr>
      </w:pPr>
    </w:p>
    <w:p w14:paraId="721BBAAC"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1.1.5 Effect of Initial Dye Concentration (4–20 mg L⁻¹):</w:t>
      </w:r>
    </w:p>
    <w:p w14:paraId="2CD549C7" w14:textId="77777777" w:rsidR="00F3142E" w:rsidRPr="008D4A81" w:rsidRDefault="00F3142E">
      <w:pPr>
        <w:ind w:left="100"/>
        <w:jc w:val="both"/>
        <w:rPr>
          <w:rFonts w:ascii="Times New Roman" w:hAnsi="Times New Roman"/>
          <w:i/>
          <w:iCs/>
          <w:color w:val="000000" w:themeColor="text1"/>
          <w:sz w:val="21"/>
          <w:szCs w:val="21"/>
          <w:lang w:val="en-IN"/>
        </w:rPr>
      </w:pPr>
    </w:p>
    <w:p w14:paraId="0D7C2359" w14:textId="77777777" w:rsidR="00F3142E" w:rsidRPr="008D4A81" w:rsidRDefault="00000000">
      <w:pPr>
        <w:ind w:left="100"/>
        <w:jc w:val="both"/>
        <w:rPr>
          <w:rFonts w:ascii="Times New Roman" w:hAnsi="Times New Roman"/>
          <w:color w:val="000000" w:themeColor="text1"/>
          <w:sz w:val="21"/>
          <w:szCs w:val="21"/>
          <w:lang w:val="en-IN"/>
        </w:rPr>
      </w:pPr>
      <w:r w:rsidRPr="008D4A81">
        <w:rPr>
          <w:rFonts w:ascii="Times New Roman" w:hAnsi="Times New Roman"/>
          <w:color w:val="000000" w:themeColor="text1"/>
          <w:sz w:val="21"/>
          <w:szCs w:val="21"/>
          <w:lang w:val="en-IN"/>
        </w:rPr>
        <w:t xml:space="preserve">With increasing initial dye concentrations, the residual absorbance intensity progressively increases, as shown in Supplementary Fig. 1(E), indicating a decline in percentage removal at higher loading due to the saturation of available adsorption sites. The optimum concentration of 12 mg L⁻¹ exhibits maximum removal efficiency, confirming the effective adsorption capacity of the developed BPMNC under optimized </w:t>
      </w:r>
      <w:proofErr w:type="gramStart"/>
      <w:r w:rsidRPr="008D4A81">
        <w:rPr>
          <w:rFonts w:ascii="Times New Roman" w:hAnsi="Times New Roman"/>
          <w:color w:val="000000" w:themeColor="text1"/>
          <w:sz w:val="21"/>
          <w:szCs w:val="21"/>
          <w:lang w:val="en-IN"/>
        </w:rPr>
        <w:t>conditions..</w:t>
      </w:r>
      <w:proofErr w:type="gramEnd"/>
    </w:p>
    <w:p w14:paraId="6E64CED1" w14:textId="77777777" w:rsidR="00F3142E" w:rsidRPr="008D4A81" w:rsidRDefault="00F3142E">
      <w:pPr>
        <w:ind w:left="100"/>
        <w:jc w:val="both"/>
        <w:rPr>
          <w:rFonts w:ascii="Times New Roman" w:hAnsi="Times New Roman"/>
          <w:color w:val="000000" w:themeColor="text1"/>
          <w:sz w:val="21"/>
          <w:szCs w:val="21"/>
          <w:lang w:val="en-IN"/>
        </w:rPr>
      </w:pPr>
    </w:p>
    <w:p w14:paraId="2C5F1EB0" w14:textId="77777777" w:rsidR="00F3142E" w:rsidRPr="008D4A81" w:rsidRDefault="00000000">
      <w:pPr>
        <w:ind w:left="100"/>
        <w:jc w:val="center"/>
        <w:rPr>
          <w:rFonts w:ascii="Times New Roman" w:hAnsi="Times New Roman"/>
          <w:i/>
          <w:iCs/>
          <w:color w:val="000000" w:themeColor="text1"/>
          <w:sz w:val="21"/>
          <w:szCs w:val="21"/>
          <w:lang w:val="en-IN"/>
        </w:rPr>
      </w:pPr>
      <w:r w:rsidRPr="008D4A81">
        <w:rPr>
          <w:rFonts w:ascii="Times New Roman" w:hAnsi="Times New Roman"/>
          <w:i/>
          <w:iCs/>
          <w:noProof/>
          <w:color w:val="000000" w:themeColor="text1"/>
          <w:sz w:val="21"/>
          <w:szCs w:val="21"/>
          <w:lang w:val="en-IN"/>
        </w:rPr>
        <w:lastRenderedPageBreak/>
        <w:drawing>
          <wp:inline distT="0" distB="0" distL="114300" distR="114300" wp14:anchorId="7862EEBF" wp14:editId="066E0290">
            <wp:extent cx="5059045" cy="3255010"/>
            <wp:effectExtent l="0" t="0" r="0" b="0"/>
            <wp:docPr id="1" name="Picture 1" descr="02032026_Supplementary_Figure_S3_UV_v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02032026_Supplementary_Figure_S3_UV_vis"/>
                    <pic:cNvPicPr>
                      <a:picLocks noChangeAspect="1"/>
                    </pic:cNvPicPr>
                  </pic:nvPicPr>
                  <pic:blipFill>
                    <a:blip r:embed="rId6"/>
                    <a:srcRect t="2585"/>
                    <a:stretch>
                      <a:fillRect/>
                    </a:stretch>
                  </pic:blipFill>
                  <pic:spPr>
                    <a:xfrm>
                      <a:off x="0" y="0"/>
                      <a:ext cx="5059045" cy="3255010"/>
                    </a:xfrm>
                    <a:prstGeom prst="rect">
                      <a:avLst/>
                    </a:prstGeom>
                  </pic:spPr>
                </pic:pic>
              </a:graphicData>
            </a:graphic>
          </wp:inline>
        </w:drawing>
      </w:r>
    </w:p>
    <w:p w14:paraId="58291C07" w14:textId="77777777" w:rsidR="00F3142E" w:rsidRPr="008D4A81" w:rsidRDefault="00F3142E">
      <w:pPr>
        <w:ind w:left="100"/>
        <w:jc w:val="both"/>
        <w:rPr>
          <w:rFonts w:ascii="Times New Roman" w:hAnsi="Times New Roman"/>
          <w:b/>
          <w:bCs/>
          <w:color w:val="000000" w:themeColor="text1"/>
          <w:sz w:val="21"/>
          <w:szCs w:val="21"/>
          <w:lang w:val="en-IN"/>
        </w:rPr>
      </w:pPr>
    </w:p>
    <w:p w14:paraId="3C252D6F" w14:textId="77777777" w:rsidR="00F3142E" w:rsidRPr="008D4A81" w:rsidRDefault="00F3142E">
      <w:pPr>
        <w:ind w:left="100"/>
        <w:jc w:val="both"/>
        <w:rPr>
          <w:rFonts w:ascii="Times New Roman" w:hAnsi="Times New Roman"/>
          <w:b/>
          <w:bCs/>
          <w:i/>
          <w:iCs/>
          <w:color w:val="000000" w:themeColor="text1"/>
          <w:sz w:val="21"/>
          <w:szCs w:val="21"/>
          <w:lang w:val="en-IN"/>
        </w:rPr>
      </w:pPr>
    </w:p>
    <w:p w14:paraId="794CBC95" w14:textId="77777777" w:rsidR="00F3142E" w:rsidRPr="008D4A81" w:rsidRDefault="00000000">
      <w:pPr>
        <w:ind w:left="100"/>
        <w:jc w:val="both"/>
        <w:rPr>
          <w:color w:val="000000" w:themeColor="text1"/>
          <w:sz w:val="18"/>
          <w:szCs w:val="18"/>
          <w:lang w:val="en-IN"/>
        </w:rPr>
      </w:pPr>
      <w:r w:rsidRPr="008D4A81">
        <w:rPr>
          <w:rFonts w:ascii="Times New Roman" w:hAnsi="Times New Roman"/>
          <w:color w:val="000000" w:themeColor="text1"/>
          <w:sz w:val="21"/>
          <w:szCs w:val="21"/>
          <w:lang w:val="en-IN"/>
        </w:rPr>
        <w:t>Supplementary F</w:t>
      </w:r>
      <w:r w:rsidRPr="008D4A81">
        <w:rPr>
          <w:rFonts w:ascii="Times New Roman" w:hAnsi="Times New Roman" w:hint="eastAsia"/>
          <w:color w:val="000000" w:themeColor="text1"/>
          <w:sz w:val="21"/>
          <w:szCs w:val="21"/>
          <w:lang w:val="en-IN"/>
        </w:rPr>
        <w:t>ig</w:t>
      </w:r>
      <w:r w:rsidRPr="008D4A81">
        <w:rPr>
          <w:rFonts w:ascii="Times New Roman" w:hAnsi="Times New Roman"/>
          <w:color w:val="000000" w:themeColor="text1"/>
          <w:sz w:val="21"/>
          <w:szCs w:val="21"/>
          <w:lang w:val="en-IN"/>
        </w:rPr>
        <w:t>.</w:t>
      </w:r>
      <w:r w:rsidRPr="008D4A81">
        <w:rPr>
          <w:rFonts w:ascii="Times New Roman" w:hAnsi="Times New Roman"/>
          <w:b/>
          <w:bCs/>
          <w:color w:val="000000" w:themeColor="text1"/>
          <w:sz w:val="18"/>
          <w:szCs w:val="18"/>
          <w:lang w:val="en-IN"/>
        </w:rPr>
        <w:t xml:space="preserve"> 1 UV–Vis Spectra. </w:t>
      </w:r>
      <w:r w:rsidRPr="008D4A81">
        <w:rPr>
          <w:rFonts w:ascii="Times New Roman" w:hAnsi="Times New Roman"/>
          <w:bCs/>
          <w:color w:val="000000" w:themeColor="text1"/>
          <w:sz w:val="18"/>
          <w:szCs w:val="18"/>
          <w:lang w:val="en-IN"/>
        </w:rPr>
        <w:t>(A) Effect of pH on Absorbance (B) Effect of Dosage on Absorbance (C</w:t>
      </w:r>
      <w:proofErr w:type="gramStart"/>
      <w:r w:rsidRPr="008D4A81">
        <w:rPr>
          <w:rFonts w:ascii="Times New Roman" w:hAnsi="Times New Roman"/>
          <w:bCs/>
          <w:color w:val="000000" w:themeColor="text1"/>
          <w:sz w:val="18"/>
          <w:szCs w:val="18"/>
          <w:lang w:val="en-IN"/>
        </w:rPr>
        <w:t>)  Effect</w:t>
      </w:r>
      <w:proofErr w:type="gramEnd"/>
      <w:r w:rsidRPr="008D4A81">
        <w:rPr>
          <w:rFonts w:ascii="Times New Roman" w:hAnsi="Times New Roman"/>
          <w:bCs/>
          <w:color w:val="000000" w:themeColor="text1"/>
          <w:sz w:val="18"/>
          <w:szCs w:val="18"/>
          <w:lang w:val="en-IN"/>
        </w:rPr>
        <w:t xml:space="preserve"> </w:t>
      </w:r>
      <w:proofErr w:type="gramStart"/>
      <w:r w:rsidRPr="008D4A81">
        <w:rPr>
          <w:rFonts w:ascii="Times New Roman" w:hAnsi="Times New Roman"/>
          <w:bCs/>
          <w:color w:val="000000" w:themeColor="text1"/>
          <w:sz w:val="18"/>
          <w:szCs w:val="18"/>
          <w:lang w:val="en-IN"/>
        </w:rPr>
        <w:t>of  Time</w:t>
      </w:r>
      <w:proofErr w:type="gramEnd"/>
      <w:r w:rsidRPr="008D4A81">
        <w:rPr>
          <w:rFonts w:ascii="Times New Roman" w:hAnsi="Times New Roman"/>
          <w:bCs/>
          <w:color w:val="000000" w:themeColor="text1"/>
          <w:sz w:val="18"/>
          <w:szCs w:val="18"/>
          <w:lang w:val="en-IN"/>
        </w:rPr>
        <w:t xml:space="preserve"> on Absorbance (D) Effect of Temperature on Absorbance (E) Effect of Initial Dye Concentration (4–20 mg L⁻¹)</w:t>
      </w:r>
    </w:p>
    <w:p w14:paraId="0FEBA85A" w14:textId="77777777" w:rsidR="00F3142E" w:rsidRPr="008D4A81" w:rsidRDefault="00F3142E">
      <w:pPr>
        <w:ind w:firstLineChars="100" w:firstLine="210"/>
        <w:rPr>
          <w:rFonts w:ascii="Times New Roman" w:hAnsi="Times New Roman" w:cs="Times New Roman"/>
          <w:i/>
          <w:iCs/>
          <w:color w:val="000000" w:themeColor="text1"/>
          <w:sz w:val="21"/>
          <w:szCs w:val="21"/>
          <w:lang w:val="en-IN"/>
        </w:rPr>
      </w:pPr>
    </w:p>
    <w:p w14:paraId="5EA640DC" w14:textId="77777777" w:rsidR="00F3142E" w:rsidRPr="008D4A81" w:rsidRDefault="00F3142E">
      <w:pPr>
        <w:jc w:val="center"/>
        <w:rPr>
          <w:rFonts w:ascii="Times New Roman" w:hAnsi="Times New Roman" w:cs="Times New Roman"/>
          <w:b/>
          <w:bCs/>
          <w:color w:val="000000" w:themeColor="text1"/>
          <w:sz w:val="18"/>
          <w:szCs w:val="18"/>
          <w:lang w:val="en-IN"/>
        </w:rPr>
      </w:pPr>
    </w:p>
    <w:p w14:paraId="2B1332A8" w14:textId="77777777" w:rsidR="00F3142E" w:rsidRPr="008D4A81" w:rsidRDefault="00F3142E">
      <w:pPr>
        <w:ind w:left="100"/>
        <w:jc w:val="both"/>
        <w:rPr>
          <w:rFonts w:ascii="Times New Roman" w:hAnsi="Times New Roman"/>
          <w:i/>
          <w:iCs/>
          <w:color w:val="000000" w:themeColor="text1"/>
          <w:sz w:val="21"/>
          <w:szCs w:val="21"/>
          <w:lang w:val="en-IN"/>
        </w:rPr>
      </w:pPr>
    </w:p>
    <w:p w14:paraId="1A8B1EBE"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S1.2 Operational Parameters</w:t>
      </w:r>
    </w:p>
    <w:p w14:paraId="66270BFA" w14:textId="77777777" w:rsidR="00F3142E" w:rsidRPr="008D4A81" w:rsidRDefault="00F3142E">
      <w:pPr>
        <w:ind w:left="100"/>
        <w:jc w:val="both"/>
        <w:rPr>
          <w:rFonts w:ascii="Times New Roman" w:hAnsi="Times New Roman"/>
          <w:color w:val="000000" w:themeColor="text1"/>
          <w:sz w:val="21"/>
          <w:szCs w:val="21"/>
          <w:lang w:val="en-IN"/>
        </w:rPr>
      </w:pPr>
    </w:p>
    <w:p w14:paraId="0303756D" w14:textId="77777777" w:rsidR="00F3142E" w:rsidRPr="008D4A81" w:rsidRDefault="00000000">
      <w:pPr>
        <w:ind w:left="100"/>
        <w:jc w:val="both"/>
        <w:rPr>
          <w:rFonts w:ascii="Times New Roman" w:hAnsi="Times New Roman"/>
          <w:color w:val="000000" w:themeColor="text1"/>
          <w:sz w:val="21"/>
          <w:szCs w:val="21"/>
          <w:lang w:val="en-IN"/>
        </w:rPr>
      </w:pPr>
      <w:r w:rsidRPr="008D4A81">
        <w:rPr>
          <w:rFonts w:ascii="Times New Roman" w:hAnsi="Times New Roman"/>
          <w:color w:val="000000" w:themeColor="text1"/>
          <w:sz w:val="21"/>
          <w:szCs w:val="21"/>
          <w:lang w:val="en-IN"/>
        </w:rPr>
        <w:t>The comparative contact-time profile, as shown in Supplementary Fig. 2(A), demonstrates substantial variability among the evaluated adsorbents, with Zeolite and Clay requiring markedly longer equilibration periods. BPMNC and Magnetic Cobalt Ferrite (MCF) achieve rapid adsorption, highlighting their superior kinetic efficiency. The dosage assessment, as shown in Supplementary Fig. 2(B), reveals that optimal sorbent requirements differ significantly across materials, with Zeolite and Clay requiring higher mass loading. MCF and BPMNC attain effective performance at comparatively lower dosages, indicating an enhanced adsorption capacity per unit mass. The operational pH analysis, as shown in Supplementary Fig. 2(C), indicates distinct working ranges for each adsorbent, where CO and BC exhibit broader effective pH tolerances. The others display narrower optimal intervals, underscoring differences in surface chemistry and protonation behaviour. The cost-effectiveness comparison, as illustrated in Supplementary Fig. 2(D), identifies BPMNC and BC as the most economically advantageous adsorbents based on their higher index values. In contrast, MCF and Zeolite exhibit comparatively lower economic efficiency despite their functional performance.</w:t>
      </w:r>
    </w:p>
    <w:p w14:paraId="36BC96E3" w14:textId="77777777" w:rsidR="00F3142E" w:rsidRPr="008D4A81" w:rsidRDefault="00F3142E">
      <w:pPr>
        <w:ind w:left="100"/>
        <w:jc w:val="both"/>
        <w:rPr>
          <w:rFonts w:ascii="Times New Roman" w:hAnsi="Times New Roman"/>
          <w:color w:val="000000" w:themeColor="text1"/>
          <w:sz w:val="21"/>
          <w:szCs w:val="21"/>
          <w:lang w:val="en-IN"/>
        </w:rPr>
      </w:pPr>
    </w:p>
    <w:p w14:paraId="7BF55675" w14:textId="77777777" w:rsidR="00F3142E" w:rsidRPr="008D4A81" w:rsidRDefault="00F3142E">
      <w:pPr>
        <w:ind w:left="100"/>
        <w:jc w:val="both"/>
        <w:rPr>
          <w:rFonts w:ascii="Times New Roman" w:hAnsi="Times New Roman"/>
          <w:i/>
          <w:iCs/>
          <w:color w:val="000000" w:themeColor="text1"/>
          <w:sz w:val="21"/>
          <w:szCs w:val="21"/>
          <w:lang w:val="en-IN"/>
        </w:rPr>
      </w:pPr>
    </w:p>
    <w:p w14:paraId="0E02CF1A"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noProof/>
          <w:color w:val="000000" w:themeColor="text1"/>
          <w:sz w:val="21"/>
          <w:szCs w:val="21"/>
          <w:lang w:val="en-IN" w:eastAsia="en-IN"/>
        </w:rPr>
        <w:lastRenderedPageBreak/>
        <w:drawing>
          <wp:inline distT="0" distB="0" distL="114300" distR="114300" wp14:anchorId="4564F473" wp14:editId="4D02CB13">
            <wp:extent cx="5425440" cy="4516755"/>
            <wp:effectExtent l="0" t="0" r="3810" b="17145"/>
            <wp:docPr id="3" name="Picture 3" descr="Figure_17_Operational_Paramet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igure_17_Operational_Parameters"/>
                    <pic:cNvPicPr>
                      <a:picLocks noChangeAspect="1"/>
                    </pic:cNvPicPr>
                  </pic:nvPicPr>
                  <pic:blipFill>
                    <a:blip r:embed="rId7"/>
                    <a:srcRect t="3658"/>
                    <a:stretch>
                      <a:fillRect/>
                    </a:stretch>
                  </pic:blipFill>
                  <pic:spPr>
                    <a:xfrm>
                      <a:off x="0" y="0"/>
                      <a:ext cx="5425440" cy="4516755"/>
                    </a:xfrm>
                    <a:prstGeom prst="rect">
                      <a:avLst/>
                    </a:prstGeom>
                  </pic:spPr>
                </pic:pic>
              </a:graphicData>
            </a:graphic>
          </wp:inline>
        </w:drawing>
      </w:r>
    </w:p>
    <w:p w14:paraId="1CCFD105" w14:textId="77777777" w:rsidR="00F3142E" w:rsidRPr="008D4A81" w:rsidRDefault="00F3142E">
      <w:pPr>
        <w:ind w:left="100"/>
        <w:jc w:val="both"/>
        <w:rPr>
          <w:rFonts w:ascii="Times New Roman" w:hAnsi="Times New Roman"/>
          <w:b/>
          <w:bCs/>
          <w:color w:val="000000" w:themeColor="text1"/>
          <w:sz w:val="18"/>
          <w:szCs w:val="18"/>
          <w:lang w:val="en-IN"/>
        </w:rPr>
      </w:pPr>
    </w:p>
    <w:p w14:paraId="6B92659C" w14:textId="77777777" w:rsidR="00F3142E" w:rsidRPr="008D4A81" w:rsidRDefault="00000000">
      <w:pPr>
        <w:ind w:left="100"/>
        <w:jc w:val="center"/>
        <w:rPr>
          <w:rFonts w:ascii="Times New Roman" w:hAnsi="Times New Roman"/>
          <w:color w:val="000000" w:themeColor="text1"/>
          <w:sz w:val="18"/>
          <w:szCs w:val="18"/>
          <w:lang w:val="en-IN"/>
        </w:rPr>
      </w:pPr>
      <w:r w:rsidRPr="008D4A81">
        <w:rPr>
          <w:rFonts w:ascii="Times New Roman" w:hAnsi="Times New Roman"/>
          <w:b/>
          <w:bCs/>
          <w:color w:val="000000" w:themeColor="text1"/>
          <w:sz w:val="18"/>
          <w:szCs w:val="18"/>
          <w:lang w:val="en-IN"/>
        </w:rPr>
        <w:t xml:space="preserve">Supplementary Fig.2 Comparison </w:t>
      </w:r>
      <w:proofErr w:type="gramStart"/>
      <w:r w:rsidRPr="008D4A81">
        <w:rPr>
          <w:rFonts w:ascii="Times New Roman" w:hAnsi="Times New Roman"/>
          <w:b/>
          <w:bCs/>
          <w:color w:val="000000" w:themeColor="text1"/>
          <w:sz w:val="18"/>
          <w:szCs w:val="18"/>
          <w:lang w:val="en-IN"/>
        </w:rPr>
        <w:t>of  Operational</w:t>
      </w:r>
      <w:proofErr w:type="gramEnd"/>
      <w:r w:rsidRPr="008D4A81">
        <w:rPr>
          <w:rFonts w:ascii="Times New Roman" w:hAnsi="Times New Roman"/>
          <w:b/>
          <w:bCs/>
          <w:color w:val="000000" w:themeColor="text1"/>
          <w:sz w:val="18"/>
          <w:szCs w:val="18"/>
          <w:lang w:val="en-IN"/>
        </w:rPr>
        <w:t xml:space="preserve"> Parameters. </w:t>
      </w:r>
      <w:r w:rsidRPr="008D4A81">
        <w:rPr>
          <w:rFonts w:ascii="Times New Roman" w:hAnsi="Times New Roman"/>
          <w:bCs/>
          <w:color w:val="000000" w:themeColor="text1"/>
          <w:sz w:val="18"/>
          <w:szCs w:val="18"/>
          <w:lang w:val="en-IN"/>
        </w:rPr>
        <w:t>(A) Contact time vs Absorbents (B), Dosage vs Absorbents (C), pH value vs Absorbents (D), Cost effectiveness index vs Absorbents</w:t>
      </w:r>
    </w:p>
    <w:p w14:paraId="6A5105BC" w14:textId="77777777" w:rsidR="00F3142E" w:rsidRPr="008D4A81" w:rsidRDefault="00F3142E">
      <w:pPr>
        <w:ind w:left="100"/>
        <w:jc w:val="both"/>
        <w:rPr>
          <w:rFonts w:ascii="Times New Roman" w:hAnsi="Times New Roman"/>
          <w:i/>
          <w:iCs/>
          <w:color w:val="000000" w:themeColor="text1"/>
          <w:sz w:val="21"/>
          <w:szCs w:val="21"/>
          <w:lang w:val="en-IN"/>
        </w:rPr>
      </w:pPr>
    </w:p>
    <w:p w14:paraId="4155E513"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
          <w:iCs/>
          <w:color w:val="000000" w:themeColor="text1"/>
          <w:sz w:val="21"/>
          <w:szCs w:val="21"/>
          <w:lang w:val="en-IN"/>
        </w:rPr>
        <w:t>S1.3 Optimization Studies</w:t>
      </w:r>
    </w:p>
    <w:p w14:paraId="1741D356" w14:textId="77777777" w:rsidR="00F3142E" w:rsidRPr="008D4A81" w:rsidRDefault="00F3142E">
      <w:pPr>
        <w:ind w:left="100"/>
        <w:jc w:val="both"/>
        <w:rPr>
          <w:rFonts w:ascii="Times New Roman" w:hAnsi="Times New Roman"/>
          <w:i/>
          <w:iCs/>
          <w:color w:val="000000" w:themeColor="text1"/>
          <w:sz w:val="21"/>
          <w:szCs w:val="21"/>
          <w:lang w:val="en-IN"/>
        </w:rPr>
      </w:pPr>
    </w:p>
    <w:p w14:paraId="53553E04" w14:textId="77777777" w:rsidR="00F3142E" w:rsidRPr="008D4A81" w:rsidRDefault="00000000">
      <w:pPr>
        <w:ind w:left="100"/>
        <w:jc w:val="both"/>
        <w:rPr>
          <w:rFonts w:ascii="Times New Roman" w:hAnsi="Times New Roman"/>
          <w:i/>
          <w:iCs/>
          <w:color w:val="000000" w:themeColor="text1"/>
          <w:sz w:val="21"/>
          <w:szCs w:val="21"/>
          <w:lang w:val="en-IN"/>
        </w:rPr>
      </w:pPr>
      <w:r w:rsidRPr="008D4A81">
        <w:rPr>
          <w:rFonts w:ascii="Times New Roman" w:hAnsi="Times New Roman"/>
          <w:iCs/>
          <w:color w:val="000000" w:themeColor="text1"/>
          <w:sz w:val="21"/>
          <w:szCs w:val="21"/>
          <w:lang w:val="en-IN"/>
        </w:rPr>
        <w:t xml:space="preserve">The pH-dependent adsorption profile, as shown in </w:t>
      </w:r>
      <w:r w:rsidRPr="008D4A81">
        <w:rPr>
          <w:rFonts w:ascii="Times New Roman" w:hAnsi="Times New Roman"/>
          <w:color w:val="000000" w:themeColor="text1"/>
          <w:sz w:val="21"/>
          <w:szCs w:val="21"/>
          <w:lang w:val="en-IN"/>
        </w:rPr>
        <w:t xml:space="preserve">Supplementary </w:t>
      </w:r>
      <w:r w:rsidRPr="008D4A81">
        <w:rPr>
          <w:rFonts w:ascii="Times New Roman" w:hAnsi="Times New Roman"/>
          <w:iCs/>
          <w:color w:val="000000" w:themeColor="text1"/>
          <w:sz w:val="21"/>
          <w:szCs w:val="21"/>
          <w:lang w:val="en-IN"/>
        </w:rPr>
        <w:t xml:space="preserve">Fig. 3(A), demonstrates a pronounced increase in MB removal efficiency with rising pH, reaching an operational optimum near neutral to slightly alkaline conditions (pH ~6–8), followed by a marginal decline at higher pH, indicating the critical role of surface charge interactions in governing adsorption performance. The dosage optimization curve, as shown in </w:t>
      </w:r>
      <w:r w:rsidRPr="008D4A81">
        <w:rPr>
          <w:rFonts w:ascii="Times New Roman" w:hAnsi="Times New Roman"/>
          <w:color w:val="000000" w:themeColor="text1"/>
          <w:sz w:val="21"/>
          <w:szCs w:val="21"/>
          <w:lang w:val="en-IN"/>
        </w:rPr>
        <w:t xml:space="preserve">Supplementary </w:t>
      </w:r>
      <w:r w:rsidRPr="008D4A81">
        <w:rPr>
          <w:rFonts w:ascii="Times New Roman" w:hAnsi="Times New Roman"/>
          <w:iCs/>
          <w:color w:val="000000" w:themeColor="text1"/>
          <w:sz w:val="21"/>
          <w:szCs w:val="21"/>
          <w:lang w:val="en-IN"/>
        </w:rPr>
        <w:t xml:space="preserve">Fig. 3(B), reveals a rapid enhancement in removal efficiency with increasing adsorbent loading up to approximately 2–3 g L⁻¹, beyond which the system approaches a plateau. This </w:t>
      </w:r>
      <w:proofErr w:type="spellStart"/>
      <w:r w:rsidRPr="008D4A81">
        <w:rPr>
          <w:rFonts w:ascii="Times New Roman" w:hAnsi="Times New Roman"/>
          <w:iCs/>
          <w:color w:val="000000" w:themeColor="text1"/>
          <w:sz w:val="21"/>
          <w:szCs w:val="21"/>
          <w:lang w:val="en-IN"/>
        </w:rPr>
        <w:t>behavior</w:t>
      </w:r>
      <w:proofErr w:type="spellEnd"/>
      <w:r w:rsidRPr="008D4A81">
        <w:rPr>
          <w:rFonts w:ascii="Times New Roman" w:hAnsi="Times New Roman"/>
          <w:iCs/>
          <w:color w:val="000000" w:themeColor="text1"/>
          <w:sz w:val="21"/>
          <w:szCs w:val="21"/>
          <w:lang w:val="en-IN"/>
        </w:rPr>
        <w:t xml:space="preserve"> indicates progressive saturation of available adsorption sites and the subsequent establishment of equilibrium conditions. The contact-time study, as shown in </w:t>
      </w:r>
      <w:r w:rsidRPr="008D4A81">
        <w:rPr>
          <w:rFonts w:ascii="Times New Roman" w:hAnsi="Times New Roman"/>
          <w:color w:val="000000" w:themeColor="text1"/>
          <w:sz w:val="21"/>
          <w:szCs w:val="21"/>
          <w:lang w:val="en-IN"/>
        </w:rPr>
        <w:t xml:space="preserve">Supplementary </w:t>
      </w:r>
      <w:r w:rsidRPr="008D4A81">
        <w:rPr>
          <w:rFonts w:ascii="Times New Roman" w:hAnsi="Times New Roman"/>
          <w:iCs/>
          <w:color w:val="000000" w:themeColor="text1"/>
          <w:sz w:val="21"/>
          <w:szCs w:val="21"/>
          <w:lang w:val="en-IN"/>
        </w:rPr>
        <w:t xml:space="preserve">Fig. 3(C), illustrates a steep initial uptake within the first 30–60 minutes, followed by a gradual approach to equilibrium, reflecting fast surface adsorption kinetics succeeded by slower intraparticle diffusion processes. The temperature effect, as presented in </w:t>
      </w:r>
      <w:r w:rsidRPr="008D4A81">
        <w:rPr>
          <w:rFonts w:ascii="Times New Roman" w:hAnsi="Times New Roman"/>
          <w:color w:val="000000" w:themeColor="text1"/>
          <w:sz w:val="21"/>
          <w:szCs w:val="21"/>
          <w:lang w:val="en-IN"/>
        </w:rPr>
        <w:t xml:space="preserve">Supplementary </w:t>
      </w:r>
      <w:r w:rsidRPr="008D4A81">
        <w:rPr>
          <w:rFonts w:ascii="Times New Roman" w:hAnsi="Times New Roman"/>
          <w:iCs/>
          <w:color w:val="000000" w:themeColor="text1"/>
          <w:sz w:val="21"/>
          <w:szCs w:val="21"/>
          <w:lang w:val="en-IN"/>
        </w:rPr>
        <w:t>Fig. 3(D), demonstrates a progressive increase in removal efficiency with increasing temperature. This trend suggests enhanced mass transfer kinetics and indicates a probable endothermic nature of the adsorption process across the investigated temperature range</w:t>
      </w:r>
      <w:r w:rsidRPr="008D4A81">
        <w:rPr>
          <w:rFonts w:ascii="Times New Roman" w:hAnsi="Times New Roman"/>
          <w:i/>
          <w:iCs/>
          <w:color w:val="000000" w:themeColor="text1"/>
          <w:sz w:val="21"/>
          <w:szCs w:val="21"/>
          <w:lang w:val="en-IN"/>
        </w:rPr>
        <w:t>.</w:t>
      </w:r>
    </w:p>
    <w:p w14:paraId="08390D01" w14:textId="77777777" w:rsidR="00F3142E" w:rsidRPr="008D4A81" w:rsidRDefault="00F3142E">
      <w:pPr>
        <w:ind w:left="100"/>
        <w:jc w:val="both"/>
        <w:rPr>
          <w:rFonts w:ascii="Times New Roman" w:hAnsi="Times New Roman"/>
          <w:i/>
          <w:iCs/>
          <w:color w:val="000000" w:themeColor="text1"/>
          <w:sz w:val="21"/>
          <w:szCs w:val="21"/>
          <w:lang w:val="en-IN"/>
        </w:rPr>
      </w:pPr>
    </w:p>
    <w:p w14:paraId="0FB481E9" w14:textId="77777777" w:rsidR="00F3142E" w:rsidRPr="008D4A81" w:rsidRDefault="00F3142E">
      <w:pPr>
        <w:ind w:left="100"/>
        <w:jc w:val="both"/>
        <w:rPr>
          <w:rFonts w:ascii="Times New Roman" w:hAnsi="Times New Roman"/>
          <w:i/>
          <w:iCs/>
          <w:color w:val="000000" w:themeColor="text1"/>
          <w:sz w:val="21"/>
          <w:szCs w:val="21"/>
          <w:lang w:val="en-IN"/>
        </w:rPr>
      </w:pPr>
    </w:p>
    <w:p w14:paraId="1AE87102" w14:textId="77777777" w:rsidR="00F3142E" w:rsidRPr="008D4A81" w:rsidRDefault="00000000">
      <w:pPr>
        <w:ind w:left="100"/>
        <w:jc w:val="center"/>
        <w:rPr>
          <w:rFonts w:ascii="Times New Roman" w:hAnsi="Times New Roman"/>
          <w:i/>
          <w:iCs/>
          <w:color w:val="000000" w:themeColor="text1"/>
          <w:sz w:val="21"/>
          <w:szCs w:val="21"/>
          <w:lang w:val="en-IN"/>
        </w:rPr>
      </w:pPr>
      <w:r w:rsidRPr="008D4A81">
        <w:rPr>
          <w:rFonts w:ascii="Times New Roman" w:hAnsi="Times New Roman"/>
          <w:i/>
          <w:iCs/>
          <w:noProof/>
          <w:color w:val="000000" w:themeColor="text1"/>
          <w:sz w:val="21"/>
          <w:szCs w:val="21"/>
          <w:lang w:val="en-IN" w:eastAsia="en-IN"/>
        </w:rPr>
        <w:lastRenderedPageBreak/>
        <w:drawing>
          <wp:inline distT="0" distB="0" distL="114300" distR="114300" wp14:anchorId="7F3575EF" wp14:editId="40FA5074">
            <wp:extent cx="5265420" cy="4374515"/>
            <wp:effectExtent l="0" t="0" r="11430" b="6985"/>
            <wp:docPr id="4" name="Picture 4" descr="Figure_9_Optimization_Stud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Figure_9_Optimization_Studies"/>
                    <pic:cNvPicPr>
                      <a:picLocks noChangeAspect="1"/>
                    </pic:cNvPicPr>
                  </pic:nvPicPr>
                  <pic:blipFill>
                    <a:blip r:embed="rId8"/>
                    <a:srcRect t="3867"/>
                    <a:stretch>
                      <a:fillRect/>
                    </a:stretch>
                  </pic:blipFill>
                  <pic:spPr>
                    <a:xfrm>
                      <a:off x="0" y="0"/>
                      <a:ext cx="5265420" cy="4374515"/>
                    </a:xfrm>
                    <a:prstGeom prst="rect">
                      <a:avLst/>
                    </a:prstGeom>
                  </pic:spPr>
                </pic:pic>
              </a:graphicData>
            </a:graphic>
          </wp:inline>
        </w:drawing>
      </w:r>
    </w:p>
    <w:p w14:paraId="62441764" w14:textId="77777777" w:rsidR="00F3142E" w:rsidRPr="008D4A81" w:rsidRDefault="00F3142E">
      <w:pPr>
        <w:ind w:left="100"/>
        <w:jc w:val="both"/>
        <w:rPr>
          <w:rFonts w:ascii="Times New Roman" w:hAnsi="Times New Roman"/>
          <w:b/>
          <w:bCs/>
          <w:i/>
          <w:iCs/>
          <w:color w:val="000000" w:themeColor="text1"/>
          <w:sz w:val="21"/>
          <w:szCs w:val="21"/>
          <w:lang w:val="en-IN"/>
        </w:rPr>
      </w:pPr>
    </w:p>
    <w:p w14:paraId="694243F9" w14:textId="77777777" w:rsidR="00F3142E" w:rsidRPr="008D4A81" w:rsidRDefault="00000000">
      <w:pPr>
        <w:ind w:left="100"/>
        <w:jc w:val="center"/>
        <w:rPr>
          <w:rFonts w:ascii="Times New Roman" w:hAnsi="Times New Roman"/>
          <w:color w:val="000000" w:themeColor="text1"/>
          <w:sz w:val="18"/>
          <w:szCs w:val="18"/>
          <w:lang w:val="en-IN"/>
        </w:rPr>
      </w:pPr>
      <w:r w:rsidRPr="008D4A81">
        <w:rPr>
          <w:rFonts w:ascii="Times New Roman" w:hAnsi="Times New Roman"/>
          <w:b/>
          <w:bCs/>
          <w:color w:val="000000" w:themeColor="text1"/>
          <w:sz w:val="18"/>
          <w:szCs w:val="18"/>
          <w:lang w:val="en-IN"/>
        </w:rPr>
        <w:t xml:space="preserve">Supplementary Fig. 3 Optimisation studies. </w:t>
      </w:r>
      <w:r w:rsidRPr="008D4A81">
        <w:rPr>
          <w:rFonts w:ascii="Times New Roman" w:hAnsi="Times New Roman"/>
          <w:bCs/>
          <w:color w:val="000000" w:themeColor="text1"/>
          <w:sz w:val="18"/>
          <w:szCs w:val="18"/>
          <w:lang w:val="en-IN"/>
        </w:rPr>
        <w:t>(A) pH vs % Removal (B) Dosage vs % Removal (C) Time vs % Removal (D) Temperature vs % Removal</w:t>
      </w:r>
    </w:p>
    <w:p w14:paraId="2E368FD5" w14:textId="77777777" w:rsidR="00F3142E" w:rsidRPr="008D4A81" w:rsidRDefault="00F3142E">
      <w:pPr>
        <w:ind w:left="100"/>
        <w:jc w:val="both"/>
        <w:rPr>
          <w:rFonts w:ascii="Times New Roman" w:hAnsi="Times New Roman"/>
          <w:i/>
          <w:iCs/>
          <w:color w:val="000000" w:themeColor="text1"/>
          <w:sz w:val="21"/>
          <w:szCs w:val="21"/>
          <w:lang w:val="en-IN"/>
        </w:rPr>
      </w:pPr>
    </w:p>
    <w:p w14:paraId="7E38B930" w14:textId="77777777" w:rsidR="00F3142E" w:rsidRPr="008D4A81" w:rsidRDefault="00000000">
      <w:pPr>
        <w:rPr>
          <w:rFonts w:ascii="Times New Roman" w:hAnsi="Times New Roman" w:cs="Times New Roman"/>
          <w:i/>
          <w:iCs/>
          <w:color w:val="000000" w:themeColor="text1"/>
          <w:sz w:val="21"/>
          <w:szCs w:val="21"/>
          <w:lang w:val="en-IN"/>
        </w:rPr>
      </w:pPr>
      <w:r w:rsidRPr="008D4A81">
        <w:rPr>
          <w:rFonts w:ascii="Times New Roman" w:hAnsi="Times New Roman" w:cs="Times New Roman"/>
          <w:i/>
          <w:iCs/>
          <w:color w:val="000000" w:themeColor="text1"/>
          <w:sz w:val="21"/>
          <w:szCs w:val="21"/>
          <w:lang w:val="en-IN"/>
        </w:rPr>
        <w:t>S1.4 FTIR Analysis</w:t>
      </w:r>
    </w:p>
    <w:p w14:paraId="61256C55" w14:textId="77777777" w:rsidR="00F3142E" w:rsidRPr="008D4A81" w:rsidRDefault="00F3142E">
      <w:pPr>
        <w:rPr>
          <w:rFonts w:ascii="Times New Roman" w:hAnsi="Times New Roman" w:cs="Times New Roman"/>
          <w:i/>
          <w:iCs/>
          <w:color w:val="000000" w:themeColor="text1"/>
          <w:sz w:val="21"/>
          <w:szCs w:val="21"/>
          <w:lang w:val="en-IN"/>
        </w:rPr>
      </w:pPr>
    </w:p>
    <w:p w14:paraId="73B9E97E" w14:textId="77777777" w:rsidR="00F3142E" w:rsidRPr="008D4A81" w:rsidRDefault="00000000">
      <w:pPr>
        <w:jc w:val="both"/>
        <w:rPr>
          <w:rFonts w:ascii="Times New Roman" w:hAnsi="Times New Roman" w:cs="Times New Roman"/>
          <w:color w:val="000000" w:themeColor="text1"/>
          <w:sz w:val="21"/>
          <w:szCs w:val="21"/>
          <w:lang w:val="en-IN"/>
        </w:rPr>
      </w:pPr>
      <w:r w:rsidRPr="008D4A81">
        <w:rPr>
          <w:rFonts w:ascii="Times New Roman" w:hAnsi="Times New Roman"/>
          <w:color w:val="000000" w:themeColor="text1"/>
          <w:sz w:val="21"/>
          <w:szCs w:val="21"/>
          <w:lang w:val="en-IN"/>
        </w:rPr>
        <w:t xml:space="preserve">The FTIR spectra of fresh and spent BPMNC, as shown in Supplementary Fig. 4, exhibit characteristic absorption bands corresponding to key surface functional groups, indicating the chemical integrity of the adsorbent framework. The broad band at 3400 cm⁻¹ is attributed to O–H stretching vibrations, while the peaks near 2920 cm⁻¹ correspond to aliphatic C–H stretching, confirming the presence of hydroxyl and hydrocarbon moieties. The distinct absorptions observed in the regions </w:t>
      </w:r>
      <w:proofErr w:type="gramStart"/>
      <w:r w:rsidRPr="008D4A81">
        <w:rPr>
          <w:rFonts w:ascii="Times New Roman" w:hAnsi="Times New Roman"/>
          <w:color w:val="000000" w:themeColor="text1"/>
          <w:sz w:val="21"/>
          <w:szCs w:val="21"/>
          <w:lang w:val="en-IN"/>
        </w:rPr>
        <w:t>of  1700</w:t>
      </w:r>
      <w:proofErr w:type="gramEnd"/>
      <w:r w:rsidRPr="008D4A81">
        <w:rPr>
          <w:rFonts w:ascii="Times New Roman" w:hAnsi="Times New Roman"/>
          <w:color w:val="000000" w:themeColor="text1"/>
          <w:sz w:val="21"/>
          <w:szCs w:val="21"/>
          <w:lang w:val="en-IN"/>
        </w:rPr>
        <w:t xml:space="preserve">–1600 cm⁻¹ </w:t>
      </w:r>
      <w:proofErr w:type="gramStart"/>
      <w:r w:rsidRPr="008D4A81">
        <w:rPr>
          <w:rFonts w:ascii="Times New Roman" w:hAnsi="Times New Roman"/>
          <w:color w:val="000000" w:themeColor="text1"/>
          <w:sz w:val="21"/>
          <w:szCs w:val="21"/>
          <w:lang w:val="en-IN"/>
        </w:rPr>
        <w:t>and  1100</w:t>
      </w:r>
      <w:proofErr w:type="gramEnd"/>
      <w:r w:rsidRPr="008D4A81">
        <w:rPr>
          <w:rFonts w:ascii="Times New Roman" w:hAnsi="Times New Roman"/>
          <w:color w:val="000000" w:themeColor="text1"/>
          <w:sz w:val="21"/>
          <w:szCs w:val="21"/>
          <w:lang w:val="en-IN"/>
        </w:rPr>
        <w:t xml:space="preserve"> cm⁻¹ are assigned to C=O/C=C and C–O stretching vibrations, respectively, reflecting oxygen-containing functional groups that play a crucial role in adsorption. Pronounced peak shifts and variations in band intensity observed in the spent BPMNC spectrum indicate the active participation of these functional groups in the adsorption process, thereby confirming effective interaction between the adsorbent surface and the target species.</w:t>
      </w:r>
    </w:p>
    <w:p w14:paraId="3E3F8733" w14:textId="77777777" w:rsidR="00F3142E" w:rsidRPr="008D4A81" w:rsidRDefault="00F3142E">
      <w:pPr>
        <w:rPr>
          <w:color w:val="000000" w:themeColor="text1"/>
          <w:lang w:val="en-IN"/>
        </w:rPr>
      </w:pPr>
    </w:p>
    <w:p w14:paraId="26329642" w14:textId="77777777" w:rsidR="00F3142E" w:rsidRPr="008D4A81" w:rsidRDefault="00000000">
      <w:pPr>
        <w:jc w:val="center"/>
        <w:rPr>
          <w:color w:val="000000" w:themeColor="text1"/>
          <w:lang w:val="en-IN"/>
        </w:rPr>
      </w:pPr>
      <w:r w:rsidRPr="008D4A81">
        <w:rPr>
          <w:noProof/>
          <w:color w:val="000000" w:themeColor="text1"/>
          <w:lang w:val="en-IN" w:eastAsia="en-IN"/>
        </w:rPr>
        <w:lastRenderedPageBreak/>
        <w:drawing>
          <wp:inline distT="0" distB="0" distL="114300" distR="114300" wp14:anchorId="5DED4B14" wp14:editId="73662F68">
            <wp:extent cx="3480435" cy="1929765"/>
            <wp:effectExtent l="0" t="0" r="5715" b="13335"/>
            <wp:docPr id="6" name="Picture 6" descr="Supplementary_Figure_S2_FTIR_Analy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Supplementary_Figure_S2_FTIR_Analysis"/>
                    <pic:cNvPicPr>
                      <a:picLocks noChangeAspect="1"/>
                    </pic:cNvPicPr>
                  </pic:nvPicPr>
                  <pic:blipFill>
                    <a:blip r:embed="rId9"/>
                    <a:srcRect t="4065"/>
                    <a:stretch>
                      <a:fillRect/>
                    </a:stretch>
                  </pic:blipFill>
                  <pic:spPr>
                    <a:xfrm>
                      <a:off x="0" y="0"/>
                      <a:ext cx="3480435" cy="1929765"/>
                    </a:xfrm>
                    <a:prstGeom prst="rect">
                      <a:avLst/>
                    </a:prstGeom>
                  </pic:spPr>
                </pic:pic>
              </a:graphicData>
            </a:graphic>
          </wp:inline>
        </w:drawing>
      </w:r>
    </w:p>
    <w:p w14:paraId="7DBB1693" w14:textId="77777777" w:rsidR="00F3142E" w:rsidRPr="008D4A81" w:rsidRDefault="00F3142E">
      <w:pPr>
        <w:ind w:left="100"/>
        <w:jc w:val="both"/>
        <w:rPr>
          <w:rFonts w:ascii="Times New Roman" w:hAnsi="Times New Roman"/>
          <w:b/>
          <w:bCs/>
          <w:i/>
          <w:iCs/>
          <w:color w:val="000000" w:themeColor="text1"/>
          <w:sz w:val="21"/>
          <w:szCs w:val="21"/>
          <w:lang w:val="en-IN"/>
        </w:rPr>
      </w:pPr>
    </w:p>
    <w:p w14:paraId="0D5DF2E0" w14:textId="77777777" w:rsidR="00F3142E" w:rsidRPr="008D4A81" w:rsidRDefault="00000000">
      <w:pPr>
        <w:jc w:val="center"/>
        <w:rPr>
          <w:rFonts w:ascii="Times New Roman" w:hAnsi="Times New Roman" w:cs="Times New Roman"/>
          <w:b/>
          <w:bCs/>
          <w:color w:val="000000" w:themeColor="text1"/>
          <w:sz w:val="18"/>
          <w:szCs w:val="18"/>
          <w:lang w:val="en-IN"/>
        </w:rPr>
      </w:pPr>
      <w:r w:rsidRPr="008D4A81">
        <w:rPr>
          <w:rFonts w:ascii="Times New Roman" w:hAnsi="Times New Roman"/>
          <w:b/>
          <w:bCs/>
          <w:color w:val="000000" w:themeColor="text1"/>
          <w:sz w:val="18"/>
          <w:szCs w:val="18"/>
          <w:lang w:val="en-IN"/>
        </w:rPr>
        <w:t xml:space="preserve">Supplementary </w:t>
      </w:r>
      <w:r w:rsidRPr="008D4A81">
        <w:rPr>
          <w:rFonts w:ascii="Times New Roman" w:hAnsi="Times New Roman" w:cs="Times New Roman"/>
          <w:b/>
          <w:bCs/>
          <w:color w:val="000000" w:themeColor="text1"/>
          <w:sz w:val="18"/>
          <w:szCs w:val="18"/>
          <w:lang w:val="en-IN"/>
        </w:rPr>
        <w:t>Fig. 4. FTIR Analysis for Fresh and Spent Adsorbent of BPMNC</w:t>
      </w:r>
    </w:p>
    <w:p w14:paraId="683B3D62" w14:textId="77777777" w:rsidR="00F3142E" w:rsidRPr="008D4A81" w:rsidRDefault="00F3142E">
      <w:pPr>
        <w:jc w:val="center"/>
        <w:rPr>
          <w:rFonts w:ascii="Times New Roman" w:hAnsi="Times New Roman" w:cs="Times New Roman"/>
          <w:b/>
          <w:bCs/>
          <w:color w:val="000000" w:themeColor="text1"/>
          <w:sz w:val="18"/>
          <w:szCs w:val="18"/>
          <w:lang w:val="en-IN"/>
        </w:rPr>
      </w:pPr>
    </w:p>
    <w:p w14:paraId="43AED9C7" w14:textId="77777777" w:rsidR="00F3142E" w:rsidRPr="008D4A81" w:rsidRDefault="00F3142E">
      <w:pPr>
        <w:rPr>
          <w:color w:val="000000" w:themeColor="text1"/>
          <w:lang w:val="en-IN"/>
        </w:rPr>
      </w:pPr>
    </w:p>
    <w:p w14:paraId="25E586D4" w14:textId="77777777" w:rsidR="00F3142E" w:rsidRPr="008D4A81" w:rsidRDefault="00F3142E">
      <w:pPr>
        <w:rPr>
          <w:color w:val="000000" w:themeColor="text1"/>
          <w:lang w:val="en-IN"/>
        </w:rPr>
      </w:pPr>
    </w:p>
    <w:p w14:paraId="71723D31" w14:textId="77777777" w:rsidR="00F3142E" w:rsidRPr="008D4A81" w:rsidRDefault="00F3142E">
      <w:pPr>
        <w:rPr>
          <w:color w:val="000000" w:themeColor="text1"/>
          <w:lang w:val="en-IN"/>
        </w:rPr>
      </w:pPr>
    </w:p>
    <w:p w14:paraId="46A27A42" w14:textId="77777777" w:rsidR="00F3142E" w:rsidRPr="008D4A81" w:rsidRDefault="00000000">
      <w:pPr>
        <w:rPr>
          <w:rFonts w:ascii="Times New Roman" w:hAnsi="Times New Roman" w:cs="Times New Roman"/>
          <w:i/>
          <w:iCs/>
          <w:color w:val="000000" w:themeColor="text1"/>
          <w:sz w:val="21"/>
          <w:szCs w:val="21"/>
          <w:lang w:val="en-IN"/>
        </w:rPr>
      </w:pPr>
      <w:r w:rsidRPr="008D4A81">
        <w:rPr>
          <w:rFonts w:ascii="Times New Roman" w:hAnsi="Times New Roman" w:cs="Times New Roman"/>
          <w:i/>
          <w:iCs/>
          <w:color w:val="000000" w:themeColor="text1"/>
          <w:sz w:val="21"/>
          <w:szCs w:val="21"/>
          <w:lang w:val="en-IN"/>
        </w:rPr>
        <w:t>S1.5 XRD Analysis</w:t>
      </w:r>
    </w:p>
    <w:p w14:paraId="623920BF" w14:textId="77777777" w:rsidR="00F3142E" w:rsidRPr="008D4A81" w:rsidRDefault="00F3142E">
      <w:pPr>
        <w:rPr>
          <w:rFonts w:ascii="Times New Roman" w:hAnsi="Times New Roman" w:cs="Times New Roman"/>
          <w:i/>
          <w:iCs/>
          <w:color w:val="000000" w:themeColor="text1"/>
          <w:sz w:val="21"/>
          <w:szCs w:val="21"/>
          <w:lang w:val="en-IN"/>
        </w:rPr>
      </w:pPr>
    </w:p>
    <w:p w14:paraId="44AA395F" w14:textId="77777777" w:rsidR="00F3142E" w:rsidRPr="008D4A81" w:rsidRDefault="00000000">
      <w:pPr>
        <w:jc w:val="both"/>
        <w:rPr>
          <w:rFonts w:ascii="Times New Roman" w:hAnsi="Times New Roman" w:cs="Times New Roman"/>
          <w:color w:val="000000" w:themeColor="text1"/>
          <w:sz w:val="21"/>
          <w:szCs w:val="21"/>
          <w:lang w:val="en-IN"/>
        </w:rPr>
      </w:pPr>
      <w:r w:rsidRPr="008D4A81">
        <w:rPr>
          <w:rFonts w:ascii="Times New Roman" w:hAnsi="Times New Roman"/>
          <w:color w:val="000000" w:themeColor="text1"/>
          <w:sz w:val="21"/>
          <w:szCs w:val="21"/>
          <w:lang w:val="en-IN"/>
        </w:rPr>
        <w:t>The XRD patterns of fresh and spent BPMNC, as shown in Supplementary Fig. 5, display well-defined diffraction peaks, confirming the crystalline nature of the material and the preservation of its structural framework after adsorption. The dominant reflections observed between 2θ = 23° and 43° correspond to the characteristic (002) and (100) planes, indicative of a graphitic carbon structure. A slight variation in peak intensity and marginal broadening in the spent BPMNC suggest surface interactions and possible pore occupation by the adsorbed species without significant lattice distortion. Furthermore, the calculated crystallite size shows a minor decrease after adsorption, supporting the conclusion that the adsorption process primarily occurs on the surface and within accessible pores while maintaining overall structural stability.</w:t>
      </w:r>
    </w:p>
    <w:p w14:paraId="5167C043" w14:textId="77777777" w:rsidR="00F3142E" w:rsidRPr="008D4A81" w:rsidRDefault="00F3142E">
      <w:pPr>
        <w:rPr>
          <w:color w:val="000000" w:themeColor="text1"/>
          <w:lang w:val="en-IN"/>
        </w:rPr>
      </w:pPr>
    </w:p>
    <w:p w14:paraId="1447A083" w14:textId="77777777" w:rsidR="00F3142E" w:rsidRPr="008D4A81" w:rsidRDefault="00000000">
      <w:pPr>
        <w:rPr>
          <w:color w:val="000000" w:themeColor="text1"/>
          <w:lang w:val="en-IN"/>
        </w:rPr>
      </w:pPr>
      <w:r w:rsidRPr="008D4A81">
        <w:rPr>
          <w:noProof/>
          <w:color w:val="000000" w:themeColor="text1"/>
          <w:lang w:val="en-IN" w:eastAsia="en-IN"/>
        </w:rPr>
        <w:drawing>
          <wp:inline distT="0" distB="0" distL="114300" distR="114300" wp14:anchorId="32358D43" wp14:editId="4B790D25">
            <wp:extent cx="5264785" cy="2811780"/>
            <wp:effectExtent l="0" t="0" r="0" b="0"/>
            <wp:docPr id="7" name="Picture 7" descr="Supplementary_Figure_S3_XRD_Compl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upplementary_Figure_S3_XRD_Complete"/>
                    <pic:cNvPicPr>
                      <a:picLocks noChangeAspect="1"/>
                    </pic:cNvPicPr>
                  </pic:nvPicPr>
                  <pic:blipFill>
                    <a:blip r:embed="rId10"/>
                    <a:srcRect t="5727"/>
                    <a:stretch>
                      <a:fillRect/>
                    </a:stretch>
                  </pic:blipFill>
                  <pic:spPr>
                    <a:xfrm>
                      <a:off x="0" y="0"/>
                      <a:ext cx="5264785" cy="2811780"/>
                    </a:xfrm>
                    <a:prstGeom prst="rect">
                      <a:avLst/>
                    </a:prstGeom>
                  </pic:spPr>
                </pic:pic>
              </a:graphicData>
            </a:graphic>
          </wp:inline>
        </w:drawing>
      </w:r>
    </w:p>
    <w:p w14:paraId="1AE570B9" w14:textId="77777777" w:rsidR="00F3142E" w:rsidRPr="008D4A81" w:rsidRDefault="00F3142E">
      <w:pPr>
        <w:ind w:left="100"/>
        <w:jc w:val="both"/>
        <w:rPr>
          <w:rFonts w:ascii="Times New Roman" w:hAnsi="Times New Roman"/>
          <w:b/>
          <w:bCs/>
          <w:i/>
          <w:iCs/>
          <w:color w:val="000000" w:themeColor="text1"/>
          <w:sz w:val="21"/>
          <w:szCs w:val="21"/>
          <w:lang w:val="en-IN"/>
        </w:rPr>
      </w:pPr>
    </w:p>
    <w:p w14:paraId="6F222659" w14:textId="77777777" w:rsidR="00F3142E" w:rsidRPr="008D4A81" w:rsidRDefault="00000000">
      <w:pPr>
        <w:jc w:val="center"/>
        <w:rPr>
          <w:color w:val="000000" w:themeColor="text1"/>
          <w:lang w:val="en-IN"/>
        </w:rPr>
      </w:pPr>
      <w:r w:rsidRPr="008D4A81">
        <w:rPr>
          <w:rFonts w:ascii="Times New Roman" w:hAnsi="Times New Roman"/>
          <w:b/>
          <w:bCs/>
          <w:color w:val="000000" w:themeColor="text1"/>
          <w:sz w:val="18"/>
          <w:szCs w:val="18"/>
          <w:lang w:val="en-IN"/>
        </w:rPr>
        <w:t xml:space="preserve">Supplementary </w:t>
      </w:r>
      <w:r w:rsidRPr="008D4A81">
        <w:rPr>
          <w:rFonts w:ascii="Times New Roman" w:hAnsi="Times New Roman" w:cs="Times New Roman"/>
          <w:b/>
          <w:bCs/>
          <w:color w:val="000000" w:themeColor="text1"/>
          <w:sz w:val="18"/>
          <w:szCs w:val="18"/>
          <w:lang w:val="en-IN"/>
        </w:rPr>
        <w:t>Fig. 5. Complete XRD Analysis of BPMNC</w:t>
      </w:r>
    </w:p>
    <w:p w14:paraId="0C260691" w14:textId="77777777" w:rsidR="00F3142E" w:rsidRPr="008D4A81" w:rsidRDefault="00F3142E">
      <w:pPr>
        <w:rPr>
          <w:color w:val="000000" w:themeColor="text1"/>
          <w:lang w:val="en-IN"/>
        </w:rPr>
      </w:pPr>
    </w:p>
    <w:p w14:paraId="29D6A140" w14:textId="77777777" w:rsidR="00F3142E" w:rsidRPr="008D4A81" w:rsidRDefault="00F3142E">
      <w:pPr>
        <w:rPr>
          <w:color w:val="000000" w:themeColor="text1"/>
          <w:lang w:val="en-IN"/>
        </w:rPr>
      </w:pPr>
    </w:p>
    <w:p w14:paraId="29F4CD0C" w14:textId="77777777" w:rsidR="00F3142E" w:rsidRPr="008D4A81" w:rsidRDefault="00F3142E">
      <w:pPr>
        <w:rPr>
          <w:color w:val="000000" w:themeColor="text1"/>
          <w:lang w:val="en-IN"/>
        </w:rPr>
      </w:pPr>
    </w:p>
    <w:p w14:paraId="2F6B1310" w14:textId="77777777" w:rsidR="00F3142E" w:rsidRPr="008D4A81" w:rsidRDefault="00F3142E">
      <w:pPr>
        <w:rPr>
          <w:color w:val="000000" w:themeColor="text1"/>
          <w:lang w:val="en-IN"/>
        </w:rPr>
      </w:pPr>
    </w:p>
    <w:p w14:paraId="39C70E27" w14:textId="77777777" w:rsidR="00F3142E" w:rsidRPr="008D4A81" w:rsidRDefault="00F3142E">
      <w:pPr>
        <w:rPr>
          <w:rFonts w:ascii="Times New Roman" w:hAnsi="Times New Roman" w:cs="Times New Roman"/>
          <w:i/>
          <w:iCs/>
          <w:color w:val="000000" w:themeColor="text1"/>
          <w:sz w:val="21"/>
          <w:szCs w:val="21"/>
          <w:lang w:val="en-IN"/>
        </w:rPr>
      </w:pPr>
    </w:p>
    <w:p w14:paraId="2476B0A2" w14:textId="77777777" w:rsidR="00F3142E" w:rsidRPr="008D4A81" w:rsidRDefault="00F3142E">
      <w:pPr>
        <w:jc w:val="center"/>
        <w:rPr>
          <w:rFonts w:ascii="Times New Roman" w:hAnsi="Times New Roman" w:cs="Times New Roman"/>
          <w:b/>
          <w:bCs/>
          <w:color w:val="000000" w:themeColor="text1"/>
          <w:sz w:val="18"/>
          <w:szCs w:val="18"/>
          <w:lang w:val="en-IN"/>
        </w:rPr>
      </w:pPr>
    </w:p>
    <w:sectPr w:rsidR="00F3142E" w:rsidRPr="008D4A81" w:rsidSect="005F25B4">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31106" w14:textId="77777777" w:rsidR="00A33DB4" w:rsidRDefault="00A33DB4" w:rsidP="008D4A81">
      <w:r>
        <w:separator/>
      </w:r>
    </w:p>
  </w:endnote>
  <w:endnote w:type="continuationSeparator" w:id="0">
    <w:p w14:paraId="292B5991" w14:textId="77777777" w:rsidR="00A33DB4" w:rsidRDefault="00A33DB4" w:rsidP="008D4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DCC00" w14:textId="77777777" w:rsidR="00A33DB4" w:rsidRDefault="00A33DB4" w:rsidP="008D4A81">
      <w:r>
        <w:separator/>
      </w:r>
    </w:p>
  </w:footnote>
  <w:footnote w:type="continuationSeparator" w:id="0">
    <w:p w14:paraId="2125006F" w14:textId="77777777" w:rsidR="00A33DB4" w:rsidRDefault="00A33DB4" w:rsidP="008D4A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VerticalSpacing w:val="156"/>
  <w:noPunctuationKerning/>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A9E1864"/>
    <w:rsid w:val="00065C10"/>
    <w:rsid w:val="000B63DB"/>
    <w:rsid w:val="000D17DA"/>
    <w:rsid w:val="001764B2"/>
    <w:rsid w:val="00493936"/>
    <w:rsid w:val="004A735D"/>
    <w:rsid w:val="005F25B4"/>
    <w:rsid w:val="0068706E"/>
    <w:rsid w:val="008D4A81"/>
    <w:rsid w:val="00A33DB4"/>
    <w:rsid w:val="00A745EE"/>
    <w:rsid w:val="00B04109"/>
    <w:rsid w:val="00BF098A"/>
    <w:rsid w:val="00C8210A"/>
    <w:rsid w:val="00F3142E"/>
    <w:rsid w:val="00F45C71"/>
    <w:rsid w:val="016F454C"/>
    <w:rsid w:val="056C0B5E"/>
    <w:rsid w:val="2C071B72"/>
    <w:rsid w:val="354112A5"/>
    <w:rsid w:val="4C840310"/>
    <w:rsid w:val="67040FD5"/>
    <w:rsid w:val="6DC7773B"/>
    <w:rsid w:val="70471F9B"/>
    <w:rsid w:val="736F6218"/>
    <w:rsid w:val="77AC7FC5"/>
    <w:rsid w:val="7A9E1864"/>
    <w:rsid w:val="7F4E0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2C268E"/>
  <w15:docId w15:val="{8B1E40C2-0D5D-4D24-9203-D0FB9AE0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rFonts w:ascii="Tahoma" w:hAnsi="Tahoma" w:cs="Tahoma"/>
      <w:sz w:val="16"/>
      <w:szCs w:val="16"/>
    </w:rPr>
  </w:style>
  <w:style w:type="character" w:styleId="a5">
    <w:name w:val="Emphasis"/>
    <w:basedOn w:val="a0"/>
    <w:qFormat/>
    <w:rPr>
      <w:i/>
      <w:iCs/>
    </w:rPr>
  </w:style>
  <w:style w:type="paragraph" w:styleId="a6">
    <w:name w:val="footer"/>
    <w:basedOn w:val="a"/>
    <w:link w:val="a7"/>
    <w:qFormat/>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qFormat/>
    <w:pPr>
      <w:spacing w:beforeAutospacing="1" w:afterAutospacing="1"/>
    </w:pPr>
    <w:rPr>
      <w:sz w:val="24"/>
      <w:szCs w:val="24"/>
    </w:rPr>
  </w:style>
  <w:style w:type="character" w:styleId="ab">
    <w:name w:val="Strong"/>
    <w:basedOn w:val="a0"/>
    <w:qFormat/>
    <w:rPr>
      <w:b/>
      <w:bCs/>
    </w:rPr>
  </w:style>
  <w:style w:type="character" w:customStyle="1" w:styleId="a4">
    <w:name w:val="批注框文本 字符"/>
    <w:basedOn w:val="a0"/>
    <w:link w:val="a3"/>
    <w:qFormat/>
    <w:rPr>
      <w:rFonts w:ascii="Tahoma" w:eastAsiaTheme="minorEastAsia" w:hAnsi="Tahoma" w:cs="Tahoma"/>
      <w:sz w:val="16"/>
      <w:szCs w:val="16"/>
      <w:lang w:val="en-US" w:eastAsia="zh-CN"/>
    </w:rPr>
  </w:style>
  <w:style w:type="character" w:customStyle="1" w:styleId="a9">
    <w:name w:val="页眉 字符"/>
    <w:basedOn w:val="a0"/>
    <w:link w:val="a8"/>
    <w:qFormat/>
    <w:rPr>
      <w:rFonts w:asciiTheme="minorHAnsi" w:eastAsiaTheme="minorEastAsia" w:hAnsiTheme="minorHAnsi" w:cstheme="minorBidi"/>
      <w:sz w:val="18"/>
      <w:szCs w:val="18"/>
    </w:rPr>
  </w:style>
  <w:style w:type="character" w:customStyle="1" w:styleId="a7">
    <w:name w:val="页脚 字符"/>
    <w:basedOn w:val="a0"/>
    <w:link w:val="a6"/>
    <w:qFormat/>
    <w:rPr>
      <w:rFonts w:asciiTheme="minorHAnsi" w:eastAsiaTheme="minorEastAsia" w:hAnsiTheme="minorHAnsi" w:cstheme="minorBidi"/>
      <w:sz w:val="18"/>
      <w:szCs w:val="18"/>
    </w:rPr>
  </w:style>
  <w:style w:type="character" w:styleId="ac">
    <w:name w:val="line number"/>
    <w:basedOn w:val="a0"/>
    <w:rsid w:val="005F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5</Pages>
  <Words>1061</Words>
  <Characters>6582</Characters>
  <Application>Microsoft Office Word</Application>
  <DocSecurity>0</DocSecurity>
  <Lines>146</Lines>
  <Paragraphs>30</Paragraphs>
  <ScaleCrop>false</ScaleCrop>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Edison Chandraseelan</dc:creator>
  <cp:lastModifiedBy>Sophia</cp:lastModifiedBy>
  <cp:revision>6</cp:revision>
  <dcterms:created xsi:type="dcterms:W3CDTF">2026-02-24T10:37:00Z</dcterms:created>
  <dcterms:modified xsi:type="dcterms:W3CDTF">2026-05-09T10:11:00Z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1033-12.1.0.25862</vt:lpwstr>
  </property>
  <property fmtid="{D5CDD505-2E9C-101B-9397-08002B2CF9AE}" pid="3" name="ICV">
    <vt:lpwstr>2A5B47949BCA44B1B4CA075C6316263E_13</vt:lpwstr>
  </property>
  <property fmtid="{D5CDD505-2E9C-101B-9397-08002B2CF9AE}" pid="4" name="GrammarlyDocumentId">
    <vt:lpwstr>a5c71d5a-7c9d-456d-b867-5dfff59d968f</vt:lpwstr>
  </property>
  <property fmtid="{D5CDD505-2E9C-101B-9397-08002B2CF9AE}" pid="5" name="KSOTemplateDocerSaveRecord">
    <vt:lpwstr>eyJoZGlkIjoiODM3YTVkNTExOWZhNWY0M2FmMmVmMjM0ZDczNmNkZTgiLCJ1c2VySWQiOiI1NjcxMjc3NTg4NDMifQ==</vt:lpwstr>
  </property>
</Properties>
</file>